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3E23" w14:textId="455C3EE4" w:rsidR="007F2979" w:rsidRPr="007F2979" w:rsidRDefault="007F2979" w:rsidP="007F2979">
      <w:pPr>
        <w:pStyle w:val="Heading2"/>
        <w:pBdr>
          <w:bottom w:val="single" w:sz="6" w:space="4" w:color="F04F03"/>
        </w:pBdr>
        <w:spacing w:before="450" w:beforeAutospacing="0" w:after="150" w:afterAutospacing="0"/>
        <w:rPr>
          <w:rFonts w:ascii="TH SarabunPSK" w:hAnsi="TH SarabunPSK" w:cs="TH SarabunPSK" w:hint="cs"/>
          <w:color w:val="222222"/>
          <w:sz w:val="45"/>
          <w:szCs w:val="45"/>
          <w:cs/>
        </w:rPr>
      </w:pPr>
      <w:r w:rsidRPr="007F2979">
        <w:rPr>
          <w:rFonts w:ascii="TH SarabunPSK" w:hAnsi="TH SarabunPSK" w:cs="TH SarabunPSK"/>
          <w:color w:val="222222"/>
          <w:shd w:val="clear" w:color="auto" w:fill="FFFFFF"/>
          <w:cs/>
        </w:rPr>
        <w:t xml:space="preserve">ข้อมูล </w:t>
      </w:r>
      <w:r w:rsidRPr="007F2979">
        <w:rPr>
          <w:rFonts w:ascii="TH SarabunPSK" w:hAnsi="TH SarabunPSK" w:cs="TH SarabunPSK"/>
          <w:color w:val="222222"/>
          <w:sz w:val="45"/>
          <w:szCs w:val="45"/>
        </w:rPr>
        <w:t>Criterion 8 : Output and Outcomes</w:t>
      </w:r>
    </w:p>
    <w:p w14:paraId="3A30CF89" w14:textId="1283EEA7" w:rsidR="007F2979" w:rsidRPr="007F2979" w:rsidRDefault="007F2979" w:rsidP="007F2979">
      <w:pPr>
        <w:spacing w:after="0" w:line="20" w:lineRule="atLeast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9248"/>
      </w:tblGrid>
      <w:tr w:rsidR="007F2979" w:rsidRPr="007F2979" w14:paraId="42824923" w14:textId="77777777" w:rsidTr="007F2979">
        <w:tc>
          <w:tcPr>
            <w:tcW w:w="949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5C6A4" w14:textId="7D0C21DA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0" w:hanging="384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  <w:t xml:space="preserve">-  </w:t>
            </w:r>
            <w:hyperlink r:id="rId5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ข้อมูลการมีงานทำของบัณฑิต</w:t>
              </w:r>
            </w:hyperlink>
            <w:r w:rsidRPr="007F2979"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  <w:t> </w:t>
            </w:r>
          </w:p>
        </w:tc>
      </w:tr>
      <w:tr w:rsidR="007F2979" w:rsidRPr="007F2979" w14:paraId="7C64658F" w14:textId="77777777" w:rsidTr="007F2979">
        <w:tc>
          <w:tcPr>
            <w:tcW w:w="949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C891A" w14:textId="76ED7DFB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 w:hint="cs"/>
                <w:color w:val="222222"/>
                <w:sz w:val="36"/>
                <w:szCs w:val="36"/>
                <w:cs/>
              </w:rPr>
            </w:pP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t xml:space="preserve">ข้อมูลความพึงพอใจของ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</w:rPr>
              <w:t xml:space="preserve">Stakeholders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t xml:space="preserve">สำหรับปีการศึกษาที่ต่ำกว่าปี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</w:rPr>
              <w:t>2562</w:t>
            </w:r>
            <w:r w:rsidRPr="007F2979"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  <w:t> 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(</w:t>
            </w:r>
            <w:r w:rsidRPr="007F2979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ฐานข้อมูลเก่า)</w:t>
            </w:r>
          </w:p>
        </w:tc>
      </w:tr>
      <w:tr w:rsidR="007F2979" w:rsidRPr="007F2979" w14:paraId="776F65E3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92B37" w14:textId="77777777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BB805" w14:textId="4883751E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6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ความพึงพอใจของนักศึกษาชั้นปีสุดท้ายที่มีต่อคุณภาพหลักสูตร</w:t>
              </w:r>
            </w:hyperlink>
          </w:p>
        </w:tc>
      </w:tr>
      <w:tr w:rsidR="007F2979" w:rsidRPr="007F2979" w14:paraId="43D363EB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4C003" w14:textId="77777777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6E105" w14:textId="083EB957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7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ความพึงพอใจของบัณฑิตใหม่ที่มีต่อคุณภาพหลักสูตร</w:t>
              </w:r>
            </w:hyperlink>
          </w:p>
        </w:tc>
      </w:tr>
      <w:tr w:rsidR="007F2979" w:rsidRPr="007F2979" w14:paraId="593CA0C5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D05D1" w14:textId="08A972F6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4D56D" w14:textId="34CEDD5D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8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ความพึงพอใจของผู้ใช้บัณฑิต</w:t>
              </w:r>
            </w:hyperlink>
          </w:p>
        </w:tc>
      </w:tr>
      <w:tr w:rsidR="007F2979" w:rsidRPr="007F2979" w14:paraId="788AD0F9" w14:textId="77777777" w:rsidTr="007F2979">
        <w:tc>
          <w:tcPr>
            <w:tcW w:w="949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08E2C" w14:textId="26982D7C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t xml:space="preserve">ข้อมูลความพึงพอใจของ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</w:rPr>
              <w:t xml:space="preserve">Stakeholders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t xml:space="preserve">สำหรับปีการศึกษาตั้งแต่ปี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</w:rPr>
              <w:t xml:space="preserve">2563 </w:t>
            </w:r>
            <w:r w:rsidRPr="007F2979"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t>ขึ้นไป</w:t>
            </w:r>
            <w:r w:rsidRPr="007F2979"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  <w:t> </w:t>
            </w:r>
          </w:p>
        </w:tc>
      </w:tr>
      <w:tr w:rsidR="007F2979" w:rsidRPr="007F2979" w14:paraId="37BAA60A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FD9FF" w14:textId="67ABF3A6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AB0BA" w14:textId="773BF80C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9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ความพึงพอใจของนักศึกษาชั้นปีสุดท้ายที่มีต่อคุณภาพหลั</w:t>
              </w:r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ก</w:t>
              </w:r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สูตร</w:t>
              </w:r>
            </w:hyperlink>
          </w:p>
        </w:tc>
      </w:tr>
      <w:tr w:rsidR="007F2979" w:rsidRPr="007F2979" w14:paraId="2262C2CD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0A41A" w14:textId="4AAF0E8E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44472" w14:textId="4E5CB9AD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10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ความพึงพอใจของบัณฑิตใหม่ที่มีต่อคุณภาพหลักสูตร</w:t>
              </w:r>
            </w:hyperlink>
          </w:p>
        </w:tc>
      </w:tr>
      <w:tr w:rsidR="007F2979" w:rsidRPr="007F2979" w14:paraId="18B8193D" w14:textId="77777777" w:rsidTr="007F2979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7EFD7" w14:textId="31CEFE27" w:rsidR="007F2979" w:rsidRPr="007F2979" w:rsidRDefault="007F2979" w:rsidP="007F2979">
            <w:p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</w:p>
        </w:tc>
        <w:tc>
          <w:tcPr>
            <w:tcW w:w="924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8DBE2" w14:textId="6EB581A9" w:rsidR="007F2979" w:rsidRPr="007F2979" w:rsidRDefault="007F2979" w:rsidP="007F2979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rPr>
                <w:rFonts w:ascii="TH SarabunPSK" w:eastAsia="Times New Roman" w:hAnsi="TH SarabunPSK" w:cs="TH SarabunPSK"/>
                <w:color w:val="222222"/>
                <w:sz w:val="36"/>
                <w:szCs w:val="36"/>
              </w:rPr>
            </w:pPr>
            <w:hyperlink r:id="rId11" w:tgtFrame="_blank" w:history="1">
              <w:r w:rsidRPr="007F2979">
                <w:rPr>
                  <w:rFonts w:ascii="TH SarabunPSK" w:eastAsia="Times New Roman" w:hAnsi="TH SarabunPSK" w:cs="TH SarabunPSK"/>
                  <w:color w:val="337AB7"/>
                  <w:sz w:val="36"/>
                  <w:szCs w:val="36"/>
                  <w:u w:val="single"/>
                  <w:cs/>
                </w:rPr>
                <w:t>ความพึงพอใจของผู้ใช้งานบัณฑิต</w:t>
              </w:r>
            </w:hyperlink>
          </w:p>
        </w:tc>
      </w:tr>
    </w:tbl>
    <w:p w14:paraId="64FA101C" w14:textId="77777777" w:rsidR="00B00587" w:rsidRPr="007F2979" w:rsidRDefault="00B00587" w:rsidP="007F2979">
      <w:pPr>
        <w:spacing w:after="0" w:line="20" w:lineRule="atLeast"/>
        <w:rPr>
          <w:rFonts w:ascii="TH SarabunPSK" w:hAnsi="TH SarabunPSK" w:cs="TH SarabunPSK"/>
          <w:sz w:val="36"/>
          <w:szCs w:val="36"/>
        </w:rPr>
      </w:pPr>
    </w:p>
    <w:sectPr w:rsidR="00B00587" w:rsidRPr="007F2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726F"/>
    <w:multiLevelType w:val="hybridMultilevel"/>
    <w:tmpl w:val="3AF63BF2"/>
    <w:lvl w:ilvl="0" w:tplc="1D32784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79"/>
    <w:rsid w:val="007F2979"/>
    <w:rsid w:val="00B00587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2985"/>
  <w15:chartTrackingRefBased/>
  <w15:docId w15:val="{E05D4F5C-3CD1-4726-B4D0-F5D120F4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97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29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297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2979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F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ju.mju.ac.th/ReportPublic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ning2.mju.ac.th/wtms_document.aspx?bID=2457&amp;lang=th-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ning2.mju.ac.th/wtms_document.aspx?bID=2132" TargetMode="External"/><Relationship Id="rId11" Type="http://schemas.openxmlformats.org/officeDocument/2006/relationships/hyperlink" Target="https://e-plan.mju.ac.th/ReportOfCompany.aspx" TargetMode="External"/><Relationship Id="rId5" Type="http://schemas.openxmlformats.org/officeDocument/2006/relationships/hyperlink" Target="https://erp.mju.ac.th/qaIndex1.aspx" TargetMode="External"/><Relationship Id="rId10" Type="http://schemas.openxmlformats.org/officeDocument/2006/relationships/hyperlink" Target="https://e-plan.mju.ac.th/ReportStudentOfEn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plan.mju.ac.th/_reportStudentOfFinalV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2022-07-25T16:33:00Z</dcterms:created>
  <dcterms:modified xsi:type="dcterms:W3CDTF">2022-07-25T16:38:00Z</dcterms:modified>
</cp:coreProperties>
</file>